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F9" w:rsidRDefault="001F28F9" w:rsidP="00766B9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F28F9">
        <w:rPr>
          <w:rFonts w:cs="B Titr" w:hint="cs"/>
          <w:sz w:val="24"/>
          <w:szCs w:val="24"/>
          <w:rtl/>
        </w:rPr>
        <w:t xml:space="preserve">شناسنامه سمینارآموزشی  </w:t>
      </w:r>
      <w:r w:rsidR="00C75D0C">
        <w:rPr>
          <w:rFonts w:cs="B Titr" w:hint="cs"/>
          <w:sz w:val="24"/>
          <w:szCs w:val="24"/>
          <w:rtl/>
        </w:rPr>
        <w:t xml:space="preserve">برنامه ریزی </w:t>
      </w:r>
      <w:r w:rsidR="00766B99">
        <w:rPr>
          <w:rFonts w:cs="B Titr" w:hint="cs"/>
          <w:sz w:val="24"/>
          <w:szCs w:val="24"/>
          <w:rtl/>
        </w:rPr>
        <w:t>استراتژیک</w:t>
      </w:r>
    </w:p>
    <w:tbl>
      <w:tblPr>
        <w:tblStyle w:val="MediumShading2-Accent5"/>
        <w:bidiVisual/>
        <w:tblW w:w="9418" w:type="dxa"/>
        <w:tblLook w:val="04A0"/>
      </w:tblPr>
      <w:tblGrid>
        <w:gridCol w:w="728"/>
        <w:gridCol w:w="1409"/>
        <w:gridCol w:w="7281"/>
      </w:tblGrid>
      <w:tr w:rsidR="0090007C" w:rsidTr="00B909C1">
        <w:trPr>
          <w:cnfStyle w:val="100000000000"/>
          <w:tblHeader/>
        </w:trPr>
        <w:tc>
          <w:tcPr>
            <w:cnfStyle w:val="001000000100"/>
            <w:tcW w:w="728" w:type="dxa"/>
          </w:tcPr>
          <w:p w:rsidR="0090007C" w:rsidRPr="0090007C" w:rsidRDefault="0090007C" w:rsidP="00E57AE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09" w:type="dxa"/>
          </w:tcPr>
          <w:p w:rsidR="0090007C" w:rsidRPr="0090007C" w:rsidRDefault="0090007C" w:rsidP="00E57AE6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مشخصه</w:t>
            </w:r>
          </w:p>
        </w:tc>
        <w:tc>
          <w:tcPr>
            <w:tcW w:w="7281" w:type="dxa"/>
          </w:tcPr>
          <w:p w:rsidR="0090007C" w:rsidRPr="0090007C" w:rsidRDefault="0090007C" w:rsidP="00E57AE6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90007C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</w:tcPr>
          <w:p w:rsidR="0090007C" w:rsidRPr="0090007C" w:rsidRDefault="0090007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 xml:space="preserve">اهداف </w:t>
            </w:r>
          </w:p>
        </w:tc>
        <w:tc>
          <w:tcPr>
            <w:tcW w:w="7281" w:type="dxa"/>
          </w:tcPr>
          <w:p w:rsidR="00C75D0C" w:rsidRDefault="00766B99" w:rsidP="00EC04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ایجاد تعاریف استاندارد و مشترک در خصوص اجزای برنامه ریزی استراتژیک در سازمان و کاهش تع</w:t>
            </w:r>
            <w:r w:rsidR="00C76156">
              <w:rPr>
                <w:rFonts w:cs="B Zar" w:hint="cs"/>
                <w:noProof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>رضات ناشی از تعاریف مختلف</w:t>
            </w:r>
          </w:p>
          <w:p w:rsidR="00766B99" w:rsidRDefault="00321763" w:rsidP="00EC04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توانمند سازی شرکت کنندگان برای تدوین برنامه استراتژیک سازمان </w:t>
            </w:r>
          </w:p>
          <w:p w:rsidR="00321763" w:rsidRDefault="00321763" w:rsidP="00EC04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توانمند سازی شرکت کنندگان در خصوص کاربرد تکنیک ها ،ماتریس ها و ابزارهای خلق استراتژی </w:t>
            </w:r>
          </w:p>
          <w:p w:rsidR="00321763" w:rsidRDefault="00321763" w:rsidP="00321763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ایجاد عزم در شرکت کنندگان برای حرکت بسوی نهادینه سازی نظام مدیریت استراتژیک در سازمان بجای تدوین کتابچه های قطور برنامه ریزی استراتژیک</w:t>
            </w:r>
          </w:p>
          <w:p w:rsidR="00321763" w:rsidRDefault="00321763" w:rsidP="00321763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ایجاد جو و اهتمام شرکت کنندگان به مشارکت در فرآیند برنامه ریزی استراتژیک</w:t>
            </w:r>
          </w:p>
          <w:p w:rsidR="00321763" w:rsidRDefault="00321763" w:rsidP="00EC04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تعیین نقش حوزه های مختلف سازمان در فرآیند برنامه ریزی استراتژیک</w:t>
            </w:r>
          </w:p>
          <w:p w:rsidR="00321763" w:rsidRDefault="00321763" w:rsidP="00EC04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ایجاد جو پذیرش یک فرایند کارمد برای تدوین برنامه استراتژیک در سازمان </w:t>
            </w:r>
          </w:p>
          <w:p w:rsidR="00321763" w:rsidRPr="00C75D0C" w:rsidRDefault="00321763" w:rsidP="00EC04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کمک به بخش برنامه ریزی استراتژیک سازمان در اجرای فرآیند برنامه ریزی در کمترین زمان ممکن 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90007C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</w:tcPr>
          <w:p w:rsidR="0090007C" w:rsidRPr="0090007C" w:rsidRDefault="00955023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سرفصل ها</w:t>
            </w:r>
          </w:p>
        </w:tc>
        <w:tc>
          <w:tcPr>
            <w:tcW w:w="7281" w:type="dxa"/>
          </w:tcPr>
          <w:p w:rsidR="00321763" w:rsidRDefault="0032176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اهداف عام مدیریت </w:t>
            </w:r>
          </w:p>
          <w:p w:rsidR="00321763" w:rsidRDefault="0032176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ابزارهای تحول در سازمان بر اساس مدل های </w:t>
            </w:r>
            <w:r>
              <w:rPr>
                <w:rFonts w:cs="B Zar"/>
                <w:sz w:val="28"/>
                <w:szCs w:val="28"/>
              </w:rPr>
              <w:t>7s</w:t>
            </w:r>
            <w:r>
              <w:rPr>
                <w:rFonts w:cs="B Zar" w:hint="cs"/>
                <w:sz w:val="28"/>
                <w:szCs w:val="28"/>
                <w:rtl/>
              </w:rPr>
              <w:t>مکنزی،کامینگز و لویت</w:t>
            </w:r>
          </w:p>
          <w:p w:rsidR="00792122" w:rsidRDefault="00792122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ابزار برنامه ریزی و اجزای برنامه</w:t>
            </w:r>
          </w:p>
          <w:p w:rsidR="000E1390" w:rsidRDefault="000E1390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مقصد و مسیر  در دو سطح برنامه ریزی استراتژیک و برنامه ریزی عملیاتی </w:t>
            </w:r>
          </w:p>
          <w:p w:rsidR="00466572" w:rsidRDefault="000E1390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نگرش استراتژیک به مدیریت در مقابل نگرش فرآیندی به مدیریت</w:t>
            </w:r>
            <w:r w:rsidR="007D4824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E1390" w:rsidRDefault="000E1390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تفاوتهای سطح استراتژیک با سطح عملیاتی </w:t>
            </w:r>
          </w:p>
          <w:p w:rsidR="000E1390" w:rsidRDefault="000E1390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تعریف</w:t>
            </w:r>
            <w:r w:rsidR="00857DC4">
              <w:rPr>
                <w:rFonts w:cs="B Zar" w:hint="cs"/>
                <w:sz w:val="28"/>
                <w:szCs w:val="28"/>
                <w:rtl/>
              </w:rPr>
              <w:t xml:space="preserve"> و سطوح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استراتژی</w:t>
            </w:r>
          </w:p>
          <w:p w:rsidR="00857DC4" w:rsidRDefault="00857DC4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انواع استراتژی های ژنریک بر اساس دیدگاههای پورتر،مایلز و اسنو و ....</w:t>
            </w:r>
          </w:p>
          <w:p w:rsidR="000E1390" w:rsidRDefault="000E1390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تعریف مدیریت استراتژیک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مدلهای برنامه ریزی استراتژیک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ماموریت،چشم انداز ،ارزش ها و اهداف استراتژیک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تحلیل محیطی و شناسایی فرصت ها و تهدیدها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تحلیل سازمانی و شناسایی قوت ها و ضعف ها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روش های تعیین استراتژی های تهاجمی /توسعه ای </w:t>
            </w:r>
          </w:p>
          <w:p w:rsidR="00567603" w:rsidRDefault="00567603" w:rsidP="00567603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تعیین استراتژی های تدافعی /کاهشی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تعیین استراتژی های رقابتی / واکنشی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تعیین استراتژی های محافظه کارانه /بهبود</w:t>
            </w:r>
          </w:p>
          <w:p w:rsidR="00567603" w:rsidRDefault="00C76156" w:rsidP="00C76156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معرفی </w:t>
            </w:r>
            <w:r w:rsidR="00567603">
              <w:rPr>
                <w:rFonts w:cs="B Zar" w:hint="cs"/>
                <w:sz w:val="28"/>
                <w:szCs w:val="28"/>
                <w:rtl/>
              </w:rPr>
              <w:t xml:space="preserve">ماترس های </w:t>
            </w:r>
            <w:r w:rsidR="00567603">
              <w:rPr>
                <w:rFonts w:cs="B Zar"/>
                <w:sz w:val="28"/>
                <w:szCs w:val="28"/>
              </w:rPr>
              <w:t>EFE,IFE,IE,BCG,GE,</w:t>
            </w:r>
            <w:r>
              <w:rPr>
                <w:rFonts w:cs="B Zar"/>
                <w:sz w:val="28"/>
                <w:szCs w:val="28"/>
              </w:rPr>
              <w:t>S</w:t>
            </w:r>
            <w:r w:rsidR="00567603">
              <w:rPr>
                <w:rFonts w:cs="B Zar"/>
                <w:sz w:val="28"/>
                <w:szCs w:val="28"/>
              </w:rPr>
              <w:t>PACE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موقعیت یابی استراتژیک سازمان</w:t>
            </w:r>
          </w:p>
          <w:p w:rsidR="00567603" w:rsidRDefault="00567603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اولویت بندی استراتژی های سازمان </w:t>
            </w:r>
            <w:r w:rsidR="00857DC4">
              <w:rPr>
                <w:rFonts w:cs="B Zar" w:hint="cs"/>
                <w:sz w:val="28"/>
                <w:szCs w:val="28"/>
                <w:rtl/>
              </w:rPr>
              <w:t xml:space="preserve">و کاربرد ماتریس </w:t>
            </w:r>
            <w:r w:rsidR="00857DC4">
              <w:rPr>
                <w:rFonts w:cs="B Zar"/>
                <w:sz w:val="28"/>
                <w:szCs w:val="28"/>
              </w:rPr>
              <w:t>QSPM</w:t>
            </w:r>
            <w:r w:rsidR="00857DC4">
              <w:rPr>
                <w:rFonts w:cs="B Zar" w:hint="cs"/>
                <w:sz w:val="28"/>
                <w:szCs w:val="28"/>
                <w:rtl/>
              </w:rPr>
              <w:t xml:space="preserve"> و ماتریس استراتژی جذاب</w:t>
            </w:r>
          </w:p>
          <w:p w:rsidR="00857DC4" w:rsidRDefault="00857DC4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کارگاه تدوین استراتژی </w:t>
            </w:r>
          </w:p>
          <w:p w:rsidR="00857DC4" w:rsidRPr="0090007C" w:rsidRDefault="00857DC4" w:rsidP="00EC0465">
            <w:pPr>
              <w:pStyle w:val="ListParagraph"/>
              <w:numPr>
                <w:ilvl w:val="0"/>
                <w:numId w:val="11"/>
              </w:num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معرفی تجارب مدرس در سازمانهای مختلف </w:t>
            </w:r>
          </w:p>
        </w:tc>
      </w:tr>
      <w:tr w:rsidR="00586344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586344" w:rsidRDefault="00586344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09" w:type="dxa"/>
          </w:tcPr>
          <w:p w:rsidR="00586344" w:rsidRDefault="00586344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مخاطبان</w:t>
            </w:r>
          </w:p>
        </w:tc>
        <w:tc>
          <w:tcPr>
            <w:tcW w:w="7281" w:type="dxa"/>
          </w:tcPr>
          <w:p w:rsidR="00586344" w:rsidRPr="00586344" w:rsidRDefault="00857DC4" w:rsidP="00EC0465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اعضای هیئت مدیره و مدیران ارشد سازمان </w:t>
            </w:r>
          </w:p>
          <w:p w:rsidR="00586344" w:rsidRDefault="00857DC4" w:rsidP="00EC0465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مدیران میانی سازمان </w:t>
            </w:r>
          </w:p>
          <w:p w:rsidR="00857DC4" w:rsidRPr="00DA0128" w:rsidRDefault="00857DC4" w:rsidP="00EC0465">
            <w:pPr>
              <w:pStyle w:val="ListParagraph"/>
              <w:numPr>
                <w:ilvl w:val="0"/>
                <w:numId w:val="4"/>
              </w:numPr>
              <w:jc w:val="both"/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کارشناسان و متخصصان حوزه برنامه ریزی و سایر بخش ها مرتبط </w:t>
            </w:r>
          </w:p>
        </w:tc>
      </w:tr>
      <w:tr w:rsidR="007B72F3" w:rsidRPr="0090007C" w:rsidTr="00586344">
        <w:tc>
          <w:tcPr>
            <w:cnfStyle w:val="001000000000"/>
            <w:tcW w:w="728" w:type="dxa"/>
          </w:tcPr>
          <w:p w:rsidR="007B72F3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409" w:type="dxa"/>
          </w:tcPr>
          <w:p w:rsidR="007B72F3" w:rsidRDefault="007B72F3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مورد نیاز</w:t>
            </w:r>
          </w:p>
        </w:tc>
        <w:tc>
          <w:tcPr>
            <w:tcW w:w="7281" w:type="dxa"/>
          </w:tcPr>
          <w:p w:rsidR="007B72F3" w:rsidRPr="007B72F3" w:rsidRDefault="007B72F3" w:rsidP="00857DC4">
            <w:p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7B72F3">
              <w:rPr>
                <w:rFonts w:cs="B Zar" w:hint="cs"/>
                <w:sz w:val="28"/>
                <w:szCs w:val="28"/>
                <w:rtl/>
              </w:rPr>
              <w:t xml:space="preserve">این سمینار آموزشی در </w:t>
            </w:r>
            <w:r w:rsidR="00857DC4">
              <w:rPr>
                <w:rFonts w:cs="B Zar" w:hint="cs"/>
                <w:sz w:val="28"/>
                <w:szCs w:val="28"/>
                <w:rtl/>
              </w:rPr>
              <w:t>سه</w:t>
            </w:r>
            <w:r w:rsidRPr="007B72F3">
              <w:rPr>
                <w:rFonts w:cs="B Zar" w:hint="cs"/>
                <w:sz w:val="28"/>
                <w:szCs w:val="28"/>
                <w:rtl/>
              </w:rPr>
              <w:t xml:space="preserve"> روز از ساعت 8 الی 13 برگزار می شود</w:t>
            </w:r>
            <w:r w:rsidR="009B1A64">
              <w:rPr>
                <w:rFonts w:cs="B Zar" w:hint="cs"/>
                <w:sz w:val="28"/>
                <w:szCs w:val="28"/>
                <w:rtl/>
              </w:rPr>
              <w:t xml:space="preserve"> .</w:t>
            </w:r>
            <w:r w:rsidR="00C76156">
              <w:rPr>
                <w:rFonts w:cs="B Zar" w:hint="cs"/>
                <w:sz w:val="28"/>
                <w:szCs w:val="28"/>
                <w:rtl/>
              </w:rPr>
              <w:t>برنامه ریزی زمانی می تواند با هماهنگی سازمان متقاضی تغییر یابد.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فضای آموزشی و تجهیزات</w:t>
            </w:r>
          </w:p>
        </w:tc>
        <w:tc>
          <w:tcPr>
            <w:tcW w:w="7281" w:type="dxa"/>
          </w:tcPr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ويديو پرو</w:t>
            </w:r>
            <w:r>
              <w:rPr>
                <w:rFonts w:cs="B Mitra" w:hint="cs"/>
                <w:rtl/>
              </w:rPr>
              <w:t>ژ</w:t>
            </w:r>
            <w:r w:rsidRPr="00F77FAD">
              <w:rPr>
                <w:rFonts w:cs="B Mitra" w:hint="cs"/>
                <w:rtl/>
              </w:rPr>
              <w:t xml:space="preserve">کتور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پرده     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وايت برد</w:t>
            </w:r>
          </w:p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رايانه         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امکانات صوتي             </w:t>
            </w:r>
            <w:r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 امکانات پخش فيلم</w:t>
            </w:r>
          </w:p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امکانات فيلمبرداري          </w:t>
            </w:r>
            <w:r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عکس برداري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کاغذ </w:t>
            </w:r>
          </w:p>
          <w:p w:rsidR="00F80C9B" w:rsidRPr="00F77FAD" w:rsidRDefault="00F80C9B" w:rsidP="00EC0465">
            <w:pPr>
              <w:jc w:val="both"/>
              <w:cnfStyle w:val="000000100000"/>
              <w:rPr>
                <w:rFonts w:cs="B Mitra"/>
                <w:sz w:val="2"/>
                <w:szCs w:val="2"/>
                <w:rtl/>
              </w:rPr>
            </w:pPr>
          </w:p>
          <w:p w:rsidR="00F80C9B" w:rsidRPr="00863892" w:rsidRDefault="00F80C9B" w:rsidP="00EC0465">
            <w:pPr>
              <w:jc w:val="both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863892">
              <w:rPr>
                <w:rFonts w:cs="B Mitra" w:hint="cs"/>
                <w:sz w:val="24"/>
                <w:szCs w:val="24"/>
                <w:rtl/>
              </w:rPr>
              <w:t>نحوه چيدمان کلاس: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1103C">
              <w:rPr>
                <w:rFonts w:cs="B Mitra" w:hint="cs"/>
                <w:sz w:val="24"/>
                <w:szCs w:val="24"/>
                <w:rtl/>
              </w:rPr>
              <w:t>اگر به صورت میزگرد باشد مناسب تر است.</w:t>
            </w:r>
          </w:p>
          <w:p w:rsidR="0090007C" w:rsidRPr="00955023" w:rsidRDefault="00F80C9B" w:rsidP="00EC0465">
            <w:pPr>
              <w:jc w:val="both"/>
              <w:cnfStyle w:val="00000010000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>ساير موارد: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این سمینار آموزشی در سازمان متقاضی و برای مدیران و </w:t>
            </w:r>
            <w:r w:rsidR="009B1A64">
              <w:rPr>
                <w:rFonts w:cs="B Zar" w:hint="cs"/>
                <w:b/>
                <w:bCs/>
                <w:sz w:val="24"/>
                <w:szCs w:val="24"/>
                <w:rtl/>
              </w:rPr>
              <w:t>کارشناسان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آن سازمان برگزار می شود.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مناسب است که در صورت تقاضا سمینار مدیران از سمینار </w:t>
            </w:r>
            <w:r w:rsidR="009B1A64">
              <w:rPr>
                <w:rFonts w:cs="B Zar" w:hint="cs"/>
                <w:b/>
                <w:bCs/>
                <w:sz w:val="24"/>
                <w:szCs w:val="24"/>
                <w:rtl/>
              </w:rPr>
              <w:t>کارشناسان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مجزا باشد.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مستندات آموزشی</w:t>
            </w:r>
          </w:p>
        </w:tc>
        <w:tc>
          <w:tcPr>
            <w:tcW w:w="7281" w:type="dxa"/>
          </w:tcPr>
          <w:p w:rsidR="00F80C9B" w:rsidRPr="00095449" w:rsidRDefault="00F80C9B" w:rsidP="00857DC4">
            <w:pPr>
              <w:jc w:val="both"/>
              <w:cnfStyle w:val="0000000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جزوه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="00857DC4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 w:hint="cs"/>
                <w:rtl/>
              </w:rPr>
              <w:t xml:space="preserve"> پرسش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نامه (</w:t>
            </w:r>
            <w:r w:rsidRPr="00A830CC">
              <w:rPr>
                <w:rFonts w:ascii="Times New Roman" w:hAnsi="Times New Roman" w:cs="Times New Roman"/>
              </w:rPr>
              <w:t>Questionnaire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/>
              </w:rPr>
              <w:t xml:space="preserve">  </w:t>
            </w:r>
            <w:r w:rsidRPr="00095449">
              <w:rPr>
                <w:rFonts w:cs="B Mitra"/>
              </w:rPr>
              <w:t xml:space="preserve">    </w:t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3C6D1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اسلايدها</w:t>
            </w:r>
            <w:r w:rsidRPr="00095449">
              <w:rPr>
                <w:rFonts w:cs="B Mitra" w:hint="cs"/>
                <w:rtl/>
              </w:rPr>
              <w:t xml:space="preserve"> </w:t>
            </w:r>
          </w:p>
          <w:p w:rsidR="00F80C9B" w:rsidRPr="00776E93" w:rsidRDefault="00F80C9B" w:rsidP="00EC0465">
            <w:pPr>
              <w:jc w:val="both"/>
              <w:cnfStyle w:val="000000000000"/>
              <w:rPr>
                <w:rFonts w:cs="B Mitra"/>
                <w:sz w:val="24"/>
                <w:szCs w:val="24"/>
                <w:rtl/>
              </w:rPr>
            </w:pP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09544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صوتي و تصويري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Pr="00095449">
              <w:rPr>
                <w:rFonts w:cs="B Mitra"/>
              </w:rPr>
              <w:t xml:space="preserve"> </w:t>
            </w:r>
            <w:r w:rsidR="009B1A64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كتاب                </w:t>
            </w:r>
            <w:r w:rsidR="0031103C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 w:hint="cs"/>
                <w:rtl/>
              </w:rPr>
              <w:t xml:space="preserve"> فيلم                </w:t>
            </w: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برگه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</w:t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0007C" w:rsidRPr="0090007C" w:rsidRDefault="00F80C9B" w:rsidP="00EC0465">
            <w:p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 w:rsidRPr="0021747A">
              <w:rPr>
                <w:rFonts w:cs="B Zar" w:hint="cs"/>
                <w:sz w:val="28"/>
                <w:szCs w:val="28"/>
                <w:rtl/>
              </w:rPr>
              <w:t>توضيحات: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>
              <w:rPr>
                <w:rFonts w:cs="B Zar" w:hint="cs"/>
                <w:sz w:val="28"/>
                <w:szCs w:val="28"/>
                <w:rtl/>
              </w:rPr>
              <w:t>اسلایدهای آموزشی در اختیار شرکت کنندگان قرار می گیرد.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عناصر آموزشی</w:t>
            </w:r>
          </w:p>
        </w:tc>
        <w:tc>
          <w:tcPr>
            <w:tcW w:w="7281" w:type="dxa"/>
          </w:tcPr>
          <w:p w:rsidR="00F80C9B" w:rsidRPr="00095449" w:rsidRDefault="00F80C9B" w:rsidP="00EC0465">
            <w:pPr>
              <w:jc w:val="both"/>
              <w:cnfStyle w:val="000000100000"/>
              <w:rPr>
                <w:rFonts w:cs="B Mitra"/>
              </w:rPr>
            </w:pPr>
            <w:r>
              <w:rPr>
                <w:rFonts w:cs="B Mitra" w:hint="cs"/>
              </w:rPr>
              <w:sym w:font="Wingdings" w:char="F06E"/>
            </w:r>
            <w:r w:rsidRPr="00497B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سخنراني               </w:t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بازي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Games</w:t>
            </w:r>
            <w:r w:rsidRPr="00095449">
              <w:rPr>
                <w:rFonts w:cs="B Mitra"/>
                <w:rtl/>
              </w:rPr>
              <w:t>)</w:t>
            </w:r>
            <w:r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</w:rPr>
              <w:sym w:font="Wingdings" w:char="F06E"/>
            </w:r>
            <w:r w:rsidRPr="00095449">
              <w:rPr>
                <w:rFonts w:cs="B Mitra" w:hint="cs"/>
                <w:rtl/>
              </w:rPr>
              <w:t xml:space="preserve"> پرسش و پاسخ</w:t>
            </w:r>
          </w:p>
          <w:p w:rsidR="00F80C9B" w:rsidRPr="00095449" w:rsidRDefault="009B1A64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095449">
              <w:rPr>
                <w:rFonts w:cs="B Mitra" w:hint="cs"/>
              </w:rPr>
              <w:sym w:font="Wingdings" w:char="F06F"/>
            </w:r>
            <w:r w:rsidR="00F80C9B" w:rsidRPr="00095449">
              <w:rPr>
                <w:rFonts w:cs="B Mitra" w:hint="cs"/>
                <w:rtl/>
              </w:rPr>
              <w:t xml:space="preserve"> تمرينات سالني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Indoor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="00F80C9B" w:rsidRPr="00095449">
              <w:rPr>
                <w:rFonts w:cs="B Mitra"/>
                <w:rtl/>
              </w:rPr>
              <w:t>)</w:t>
            </w:r>
            <w:r w:rsidR="00F80C9B" w:rsidRPr="00095449">
              <w:rPr>
                <w:rFonts w:cs="B Mitra" w:hint="cs"/>
                <w:rtl/>
              </w:rPr>
              <w:t xml:space="preserve">    </w:t>
            </w:r>
            <w:r w:rsidR="00F80C9B">
              <w:rPr>
                <w:rFonts w:cs="B Mitra" w:hint="cs"/>
                <w:rtl/>
              </w:rPr>
              <w:t xml:space="preserve">               </w:t>
            </w:r>
            <w:r w:rsidR="00F80C9B" w:rsidRPr="00095449">
              <w:rPr>
                <w:rFonts w:cs="B Mitra" w:hint="cs"/>
                <w:rtl/>
              </w:rPr>
              <w:t xml:space="preserve">  </w:t>
            </w:r>
            <w:r w:rsidR="00F80C9B">
              <w:rPr>
                <w:rFonts w:cs="B Mitra" w:hint="cs"/>
              </w:rPr>
              <w:sym w:font="Wingdings" w:char="F06E"/>
            </w:r>
            <w:r w:rsidR="00F80C9B">
              <w:rPr>
                <w:rFonts w:cs="B Mitra" w:hint="cs"/>
                <w:rtl/>
              </w:rPr>
              <w:t xml:space="preserve"> </w:t>
            </w:r>
            <w:r w:rsidR="00F80C9B" w:rsidRPr="00095449">
              <w:rPr>
                <w:rFonts w:cs="B Mitra" w:hint="cs"/>
                <w:rtl/>
              </w:rPr>
              <w:t>كار گروهي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r w:rsidR="00F80C9B" w:rsidRPr="00095449">
              <w:rPr>
                <w:rFonts w:cs="B Mitra" w:hint="cs"/>
                <w:rtl/>
              </w:rPr>
              <w:t xml:space="preserve">)   </w:t>
            </w:r>
            <w:r w:rsidR="00F80C9B">
              <w:rPr>
                <w:rFonts w:cs="B Mitra" w:hint="cs"/>
                <w:rtl/>
              </w:rPr>
              <w:t xml:space="preserve">            </w:t>
            </w:r>
            <w:r w:rsidR="00F80C9B" w:rsidRPr="00095449">
              <w:rPr>
                <w:rFonts w:cs="B Mitra" w:hint="cs"/>
                <w:rtl/>
              </w:rPr>
              <w:t xml:space="preserve">   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095449">
              <w:rPr>
                <w:rFonts w:cs="B Mitra" w:hint="cs"/>
              </w:rPr>
              <w:sym w:font="Wingdings" w:char="F06F"/>
            </w:r>
            <w:r w:rsidR="00F80C9B" w:rsidRPr="00095449">
              <w:rPr>
                <w:rFonts w:cs="B Mitra" w:hint="cs"/>
                <w:rtl/>
              </w:rPr>
              <w:t xml:space="preserve">بازديد  </w:t>
            </w:r>
          </w:p>
          <w:p w:rsidR="00F80C9B" w:rsidRPr="00095449" w:rsidRDefault="00F80C9B" w:rsidP="00EC0465">
            <w:pPr>
              <w:jc w:val="both"/>
              <w:cnfStyle w:val="000000100000"/>
              <w:rPr>
                <w:rFonts w:cs="B Mitra"/>
                <w:rtl/>
              </w:rPr>
            </w:pPr>
            <w:r w:rsidRPr="00095449">
              <w:rPr>
                <w:rFonts w:cs="B Mitra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تمرينات فضاي باز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Outdoor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="009B1A64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مطالعه و تحليل نمونه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موفق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Best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     </w:t>
            </w:r>
          </w:p>
          <w:p w:rsidR="0090007C" w:rsidRPr="0021747A" w:rsidRDefault="00F80C9B" w:rsidP="00EC0465">
            <w:pPr>
              <w:tabs>
                <w:tab w:val="left" w:pos="884"/>
              </w:tabs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095449">
              <w:rPr>
                <w:rFonts w:cs="B Mitra" w:hint="cs"/>
                <w:rtl/>
              </w:rPr>
              <w:t xml:space="preserve"> </w:t>
            </w:r>
            <w:r w:rsidRPr="0021747A">
              <w:rPr>
                <w:rFonts w:cs="B Zar" w:hint="cs"/>
                <w:sz w:val="28"/>
                <w:szCs w:val="28"/>
                <w:rtl/>
              </w:rPr>
              <w:t>ساير: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 w:rsidRPr="0021747A">
              <w:rPr>
                <w:rFonts w:cs="B Zar"/>
                <w:sz w:val="28"/>
                <w:szCs w:val="28"/>
                <w:rtl/>
              </w:rPr>
              <w:tab/>
            </w:r>
          </w:p>
        </w:tc>
      </w:tr>
      <w:tr w:rsidR="0021747A" w:rsidRPr="0090007C" w:rsidTr="00586344">
        <w:tc>
          <w:tcPr>
            <w:cnfStyle w:val="001000000000"/>
            <w:tcW w:w="728" w:type="dxa"/>
          </w:tcPr>
          <w:p w:rsidR="0021747A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409" w:type="dxa"/>
          </w:tcPr>
          <w:p w:rsidR="0021747A" w:rsidRDefault="0021747A" w:rsidP="00E57AE6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جذابیت های سمینار</w:t>
            </w:r>
          </w:p>
        </w:tc>
        <w:tc>
          <w:tcPr>
            <w:tcW w:w="7281" w:type="dxa"/>
          </w:tcPr>
          <w:p w:rsidR="007D4824" w:rsidRPr="00857DC4" w:rsidRDefault="00857DC4" w:rsidP="00EC0465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در این سمینار برای سازمان مورد بررسی یک بار در قالب کارگروهی و متناسب با مراحل آموزش برنامه استراتژیک تدوین می شود که این تجربه توانسته است تا کنون نظر بسیاری از سازمانها را برای اجرای این آموزش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جلب کند.</w:t>
            </w:r>
          </w:p>
          <w:p w:rsidR="00857DC4" w:rsidRPr="00857DC4" w:rsidRDefault="00857DC4" w:rsidP="00857DC4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 w:rsidRPr="00857DC4">
              <w:rPr>
                <w:rFonts w:cs="B Zar" w:hint="cs"/>
                <w:b/>
                <w:bCs/>
                <w:sz w:val="24"/>
                <w:szCs w:val="24"/>
                <w:rtl/>
              </w:rPr>
              <w:t>معرفی نمونه های انجام شده توسط مدرس در کشور که اجرا نیز شده و در حال حاضر از نمونه های موفق به شمار می آید این سمینار را بیش از پیش جذاب نموده است.</w:t>
            </w:r>
          </w:p>
          <w:p w:rsidR="00857DC4" w:rsidRPr="006C333B" w:rsidRDefault="00857DC4" w:rsidP="006C333B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ایجاد ارتباط مباحث نظری با واقعیت های کسب و کار در ایران توانسته است تا عزم شرکت کنندان را برای پیاده سازی نظام برنامه ر</w:t>
            </w:r>
            <w:r w:rsidR="006C333B">
              <w:rPr>
                <w:rFonts w:cs="B Zar" w:hint="cs"/>
                <w:b/>
                <w:bCs/>
                <w:sz w:val="24"/>
                <w:szCs w:val="24"/>
                <w:rtl/>
              </w:rPr>
              <w:t>یزی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</w:t>
            </w:r>
            <w:r w:rsidR="006C333B">
              <w:rPr>
                <w:rFonts w:cs="B Zar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هبردی افزایش دهد و این آموزش در این خصوص موفق عمل کرده است.</w:t>
            </w:r>
            <w:r w:rsidR="006C333B">
              <w:rPr>
                <w:rFonts w:cs="B Zar" w:hint="cs"/>
                <w:b/>
                <w:bCs/>
                <w:sz w:val="24"/>
                <w:szCs w:val="24"/>
                <w:rtl/>
              </w:rPr>
              <w:t>به گونه ای تعداد زیادی از طرح های مشاوره مدرس از دل این سمینار های بدست آمده است.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E57A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409" w:type="dxa"/>
          </w:tcPr>
          <w:p w:rsidR="0090007C" w:rsidRPr="0090007C" w:rsidRDefault="0031103C" w:rsidP="00E57AE6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7281" w:type="dxa"/>
          </w:tcPr>
          <w:p w:rsidR="0090007C" w:rsidRPr="00586344" w:rsidRDefault="00F80C9B" w:rsidP="00EC0465">
            <w:pPr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586344">
              <w:rPr>
                <w:rFonts w:cs="B Zar" w:hint="cs"/>
                <w:sz w:val="28"/>
                <w:szCs w:val="28"/>
                <w:rtl/>
              </w:rPr>
              <w:t>میزان مشارکت شرکت کنندگان  و</w:t>
            </w:r>
            <w:r w:rsidR="0031103C" w:rsidRPr="00586344">
              <w:rPr>
                <w:rFonts w:cs="B Zar" w:hint="cs"/>
                <w:sz w:val="28"/>
                <w:szCs w:val="28"/>
                <w:rtl/>
              </w:rPr>
              <w:t xml:space="preserve"> در صورت تقاضای کارفرما</w:t>
            </w:r>
            <w:r w:rsidRPr="00586344">
              <w:rPr>
                <w:rFonts w:cs="B Zar" w:hint="cs"/>
                <w:sz w:val="28"/>
                <w:szCs w:val="28"/>
                <w:rtl/>
              </w:rPr>
              <w:t xml:space="preserve"> آزمون کتبی</w:t>
            </w:r>
          </w:p>
        </w:tc>
      </w:tr>
    </w:tbl>
    <w:p w:rsidR="001F28F9" w:rsidRPr="001F28F9" w:rsidRDefault="001F28F9" w:rsidP="00E57AE6">
      <w:pPr>
        <w:spacing w:after="0" w:line="240" w:lineRule="auto"/>
        <w:jc w:val="center"/>
        <w:rPr>
          <w:rFonts w:cs="B Titr"/>
          <w:sz w:val="24"/>
          <w:szCs w:val="24"/>
        </w:rPr>
      </w:pPr>
    </w:p>
    <w:sectPr w:rsidR="001F28F9" w:rsidRPr="001F28F9" w:rsidSect="00185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A5"/>
    <w:multiLevelType w:val="hybridMultilevel"/>
    <w:tmpl w:val="B2F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5633"/>
    <w:multiLevelType w:val="hybridMultilevel"/>
    <w:tmpl w:val="2F8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123D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6E82"/>
    <w:multiLevelType w:val="hybridMultilevel"/>
    <w:tmpl w:val="7612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6305"/>
    <w:multiLevelType w:val="hybridMultilevel"/>
    <w:tmpl w:val="FD28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5811"/>
    <w:multiLevelType w:val="hybridMultilevel"/>
    <w:tmpl w:val="BC8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A65E8"/>
    <w:multiLevelType w:val="hybridMultilevel"/>
    <w:tmpl w:val="66BE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B2D85"/>
    <w:multiLevelType w:val="hybridMultilevel"/>
    <w:tmpl w:val="AA66A3CC"/>
    <w:lvl w:ilvl="0" w:tplc="36DE4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40D56"/>
    <w:multiLevelType w:val="hybridMultilevel"/>
    <w:tmpl w:val="B4A0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C67"/>
    <w:multiLevelType w:val="hybridMultilevel"/>
    <w:tmpl w:val="B6E4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33DE1"/>
    <w:multiLevelType w:val="hybridMultilevel"/>
    <w:tmpl w:val="353CC148"/>
    <w:lvl w:ilvl="0" w:tplc="6D946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2552981"/>
    <w:multiLevelType w:val="hybridMultilevel"/>
    <w:tmpl w:val="02A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62637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28F9"/>
    <w:rsid w:val="000308E4"/>
    <w:rsid w:val="00074D95"/>
    <w:rsid w:val="000E1390"/>
    <w:rsid w:val="000F4540"/>
    <w:rsid w:val="0011782A"/>
    <w:rsid w:val="00121845"/>
    <w:rsid w:val="0018527B"/>
    <w:rsid w:val="00185A1D"/>
    <w:rsid w:val="001A12CF"/>
    <w:rsid w:val="001F28F9"/>
    <w:rsid w:val="00200959"/>
    <w:rsid w:val="00206776"/>
    <w:rsid w:val="0021747A"/>
    <w:rsid w:val="0031103C"/>
    <w:rsid w:val="00321763"/>
    <w:rsid w:val="00386F04"/>
    <w:rsid w:val="00411902"/>
    <w:rsid w:val="00424516"/>
    <w:rsid w:val="00466572"/>
    <w:rsid w:val="004B5C8B"/>
    <w:rsid w:val="004C7412"/>
    <w:rsid w:val="00531A1D"/>
    <w:rsid w:val="00567603"/>
    <w:rsid w:val="00586344"/>
    <w:rsid w:val="00602D05"/>
    <w:rsid w:val="006C333B"/>
    <w:rsid w:val="00766B99"/>
    <w:rsid w:val="007748CD"/>
    <w:rsid w:val="00792122"/>
    <w:rsid w:val="007B72F3"/>
    <w:rsid w:val="007D4824"/>
    <w:rsid w:val="0084125D"/>
    <w:rsid w:val="00857DC4"/>
    <w:rsid w:val="00885555"/>
    <w:rsid w:val="0090007C"/>
    <w:rsid w:val="00955023"/>
    <w:rsid w:val="009B1A64"/>
    <w:rsid w:val="00A0268C"/>
    <w:rsid w:val="00A56F5F"/>
    <w:rsid w:val="00A93CC6"/>
    <w:rsid w:val="00B1144F"/>
    <w:rsid w:val="00B318F4"/>
    <w:rsid w:val="00B909C1"/>
    <w:rsid w:val="00BB69E7"/>
    <w:rsid w:val="00C24280"/>
    <w:rsid w:val="00C75D0C"/>
    <w:rsid w:val="00C76156"/>
    <w:rsid w:val="00CC2DA7"/>
    <w:rsid w:val="00CE6F3B"/>
    <w:rsid w:val="00DA0128"/>
    <w:rsid w:val="00E57AE6"/>
    <w:rsid w:val="00EC0465"/>
    <w:rsid w:val="00ED1FBD"/>
    <w:rsid w:val="00EF44F8"/>
    <w:rsid w:val="00F66EC3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344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586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dcterms:created xsi:type="dcterms:W3CDTF">2017-05-06T09:55:00Z</dcterms:created>
  <dcterms:modified xsi:type="dcterms:W3CDTF">2017-05-29T09:26:00Z</dcterms:modified>
</cp:coreProperties>
</file>